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Camden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Camden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Camden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Camden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Camden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Camden are estimated to have a score of 1-2 on the PGSI (low-risk gambling), whilst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70.2% </w:t>
      </w:r>
      <w:r w:rsidRPr="004747BF">
        <w:rPr>
          <w:rFonts w:ascii="Libre Franklin Light" w:eastAsia="Times New Roman" w:hAnsi="Libre Franklin Light" w:cs="Calibri Light"/>
        </w:rPr>
        <w:t xml:space="preserve">of those respondents classified as PGSI 8+ in Camden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Camden is estimated to be </w:t>
      </w:r>
      <w:r w:rsidRPr="00773DF7">
        <w:rPr>
          <w:rFonts w:ascii="Libre Franklin Light" w:eastAsia="Times New Roman" w:hAnsi="Libre Franklin Light" w:cs="Calibri Light"/>
          <w:b/>
          <w:bCs/>
          <w:color w:val="C45911" w:themeColor="accent2" w:themeShade="BF"/>
        </w:rPr>
        <w:t xml:space="preserve">£16,162,529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Camden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25.5%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Camden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Camden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Camden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md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Camden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md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Camden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Camden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md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Camden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Camden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Camden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71.4%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Camden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Camden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Camden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£16,162,529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Camden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£263,261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£5,444,387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£390,017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£109,692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£201,102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£9,754,070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£16,162,529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Camden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Camden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Camden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Camden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Camden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Camden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Camden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Camden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Camden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Camden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Camden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Camden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987BBC6-22E2-412C-8343-7142532DF25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